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4E0146" w:rsidRDefault="004E0146" w14:paraId="7BFDAA5E" w14:textId="3FAA1A99">
      <w:pPr>
        <w:rPr>
          <w:bCs/>
          <w:b/>
          <w:rFonts w:ascii="Times New Roman" w:cs="Times New Roman" w:hAnsi="Times New Roman"/>
          <w:sz w:val="21"/>
          <w:szCs w:val="21"/>
        </w:rPr>
      </w:pPr>
      <w:r>
        <w:rPr>
          <w:noProof/>
        </w:rPr>
        <w:drawing>
          <wp:anchor distT="0" distB="0" distR="114300" distL="114300" relativeHeight="251658240" behindDoc="0" allowOverlap="1" layoutInCell="1" locked="0" simplePos="0" wp14:anchorId="7BCB2F9A" wp14:editId="5CE0611A">
            <wp:simplePos x="0" y="0"/>
            <wp:positionH relativeFrom="column">
              <wp:posOffset>2209800</wp:posOffset>
            </wp:positionH>
            <wp:positionV relativeFrom="paragraph">
              <wp:posOffset>-399415</wp:posOffset>
            </wp:positionV>
            <wp:extent cx="1765300" cy="725805"/>
            <wp:effectExtent l="0" t="0" r="0" b="0"/>
            <wp:wrapNone/>
            <wp:docPr id="1" name="Picture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  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65300" cy="725966"/>
                    </a:xfrm>
                    <a:prstGeom prst="rect">
                      <a:avLst/>
                    </a:prstGeom>
                  </pic:spPr>
                </pic:pic>
              </a:graphicData>
            </a:graphic>
            <wp14:sizeRelH relativeFrom="page">
              <wp14:pctWidth>0</wp14:pctWidth>
            </wp14:sizeRelH>
            <wp14:sizeRelV relativeFrom="page">
              <wp14:pctHeight>0</wp14:pctHeight>
            </wp14:sizeRelV>
          </wp:anchor>
        </w:drawing>
      </w:r>
    </w:p>
    <w:p w:rsidR="004E0146" w:rsidRDefault="004E0146" w14:paraId="6F075045" w14:textId="77777777">
      <w:pPr>
        <w:rPr>
          <w:bCs/>
          <w:b/>
          <w:rFonts w:ascii="Times New Roman" w:cs="Times New Roman" w:hAnsi="Times New Roman"/>
          <w:sz w:val="21"/>
          <w:szCs w:val="21"/>
        </w:rPr>
      </w:pPr>
    </w:p>
    <w:p w:rsidR="004E0146" w:rsidRDefault="004E0146" w14:paraId="28755FFD" w14:textId="77777777">
      <w:pPr>
        <w:rPr>
          <w:bCs/>
          <w:b/>
          <w:rFonts w:ascii="Times New Roman" w:cs="Times New Roman" w:hAnsi="Times New Roman"/>
          <w:sz w:val="21"/>
          <w:szCs w:val="21"/>
        </w:rPr>
      </w:pPr>
    </w:p>
    <w:p w:rsidR="004E0146" w:rsidRDefault="004E0146" w14:paraId="51BD2696" w14:textId="77777777">
      <w:pPr>
        <w:rPr>
          <w:bCs/>
          <w:b/>
          <w:rFonts w:ascii="Times New Roman" w:cs="Times New Roman" w:hAnsi="Times New Roman"/>
          <w:sz w:val="21"/>
          <w:szCs w:val="21"/>
        </w:rPr>
      </w:pPr>
    </w:p>
    <w:p w:rsidR="007A3EEA" w:rsidRDefault="004E0146" w14:paraId="78616372" w14:textId="39F04613" w:rsidRPr="004E0146">
      <w:pPr>
        <w:rPr>
          <w:bCs/>
          <w:b/>
          <w:rFonts w:ascii="Times New Roman" w:cs="Times New Roman" w:hAnsi="Times New Roman"/>
          <w:sz w:val="21"/>
          <w:szCs w:val="21"/>
        </w:rPr>
      </w:pPr>
      <w:r w:rsidRPr="004E0146">
        <w:rPr>
          <w:bCs/>
          <w:b/>
          <w:rFonts w:ascii="Times New Roman" w:cs="Times New Roman" w:hAnsi="Times New Roman"/>
          <w:sz w:val="21"/>
          <w:szCs w:val="21"/>
        </w:rPr>
        <w:t>Sabina Gold &amp; Silver Corp.</w:t>
      </w:r>
    </w:p>
    <w:p w:rsidR="004E0146" w:rsidRDefault="004E0146" w14:paraId="36F72D87" w14:textId="439A77D9" w:rsidRPr="004E0146">
      <w:pPr>
        <w:rPr>
          <w:bCs/>
          <w:b/>
          <w:rFonts w:ascii="Times New Roman" w:cs="Times New Roman" w:hAnsi="Times New Roman"/>
          <w:sz w:val="21"/>
          <w:szCs w:val="21"/>
        </w:rPr>
      </w:pPr>
    </w:p>
    <w:p w:rsidR="004E0146" w:rsidRDefault="004E0146" w14:paraId="17F49793" w14:textId="000DEC55" w:rsidRPr="004E0146">
      <w:pPr>
        <w:rPr>
          <w:rFonts w:ascii="Times New Roman" w:cs="Times New Roman" w:hAnsi="Times New Roman"/>
          <w:sz w:val="21"/>
          <w:szCs w:val="21"/>
        </w:rPr>
      </w:pPr>
      <w:r w:rsidRPr="004E0146">
        <w:rPr>
          <w:bCs/>
          <w:b/>
          <w:rFonts w:ascii="Times New Roman" w:cs="Times New Roman" w:hAnsi="Times New Roman"/>
          <w:sz w:val="21"/>
          <w:szCs w:val="21"/>
        </w:rPr>
        <w:t xml:space="preserve">Symbol: </w:t>
      </w:r>
      <w:r w:rsidRPr="004E0146">
        <w:rPr>
          <w:rFonts w:ascii="Times New Roman" w:cs="Times New Roman" w:hAnsi="Times New Roman"/>
          <w:sz w:val="21"/>
          <w:szCs w:val="21"/>
        </w:rPr>
        <w:t>TSX: SBB | OTCQX: SGSVF</w:t>
      </w:r>
    </w:p>
    <w:p w:rsidR="004E0146" w:rsidRDefault="004E0146" w14:paraId="5725206C" w14:textId="4BA27BBC" w:rsidRPr="004E0146">
      <w:pPr>
        <w:rPr>
          <w:rFonts w:ascii="Times New Roman" w:cs="Times New Roman" w:hAnsi="Times New Roman"/>
          <w:sz w:val="21"/>
          <w:szCs w:val="21"/>
        </w:rPr>
      </w:pPr>
      <w:r w:rsidRPr="004E0146">
        <w:rPr>
          <w:bCs/>
          <w:b/>
          <w:rFonts w:ascii="Times New Roman" w:cs="Times New Roman" w:hAnsi="Times New Roman"/>
          <w:sz w:val="21"/>
          <w:szCs w:val="21"/>
        </w:rPr>
        <w:t xml:space="preserve">Market Cap: </w:t>
      </w:r>
      <w:r w:rsidRPr="004E0146">
        <w:rPr>
          <w:rFonts w:ascii="Times New Roman" w:cs="Times New Roman" w:hAnsi="Times New Roman"/>
          <w:sz w:val="21"/>
          <w:szCs w:val="21"/>
        </w:rPr>
        <w:t>680M</w:t>
      </w:r>
    </w:p>
    <w:p w:rsidR="004E0146" w:rsidRDefault="004E0146" w14:paraId="4822030A" w14:textId="2D241C2D" w:rsidRPr="004E0146">
      <w:pPr>
        <w:rPr>
          <w:rFonts w:ascii="Times New Roman" w:cs="Times New Roman" w:hAnsi="Times New Roman"/>
          <w:sz w:val="21"/>
          <w:szCs w:val="21"/>
        </w:rPr>
      </w:pPr>
      <w:r w:rsidRPr="004E0146">
        <w:rPr>
          <w:bCs/>
          <w:b/>
          <w:rFonts w:ascii="Times New Roman" w:cs="Times New Roman" w:hAnsi="Times New Roman"/>
          <w:sz w:val="21"/>
          <w:szCs w:val="21"/>
        </w:rPr>
        <w:t xml:space="preserve">Sector: </w:t>
      </w:r>
      <w:r w:rsidRPr="004E0146">
        <w:rPr>
          <w:rFonts w:ascii="Times New Roman" w:cs="Times New Roman" w:hAnsi="Times New Roman"/>
          <w:sz w:val="21"/>
          <w:szCs w:val="21"/>
        </w:rPr>
        <w:t>Mining | Gold &amp; Silver</w:t>
      </w:r>
    </w:p>
    <w:p w:rsidR="004E0146" w:rsidRDefault="004E0146" w14:paraId="4F1F109A" w14:textId="74D5F088" w:rsidRPr="004E0146">
      <w:pPr>
        <w:rPr>
          <w:rFonts w:ascii="Times New Roman" w:cs="Times New Roman" w:hAnsi="Times New Roman"/>
          <w:sz w:val="21"/>
          <w:szCs w:val="21"/>
        </w:rPr>
      </w:pPr>
      <w:r w:rsidRPr="004E0146">
        <w:rPr>
          <w:bCs/>
          <w:b/>
          <w:rFonts w:ascii="Times New Roman" w:cs="Times New Roman" w:hAnsi="Times New Roman"/>
          <w:sz w:val="21"/>
          <w:szCs w:val="21"/>
        </w:rPr>
        <w:t xml:space="preserve">Purpose: </w:t>
      </w:r>
      <w:r w:rsidRPr="004E0146">
        <w:rPr>
          <w:rFonts w:ascii="Times New Roman" w:cs="Times New Roman" w:hAnsi="Times New Roman"/>
          <w:sz w:val="21"/>
          <w:szCs w:val="21"/>
        </w:rPr>
        <w:t>Raise Awareness / Open Market Buying</w:t>
      </w:r>
    </w:p>
    <w:p w:rsidR="004E0146" w:rsidRDefault="004E0146" w14:paraId="4E797822" w14:textId="25028B64" w:rsidRPr="004E0146">
      <w:pPr>
        <w:rPr>
          <w:rFonts w:ascii="Times New Roman" w:cs="Times New Roman" w:hAnsi="Times New Roman"/>
          <w:sz w:val="21"/>
          <w:szCs w:val="21"/>
        </w:rPr>
      </w:pPr>
    </w:p>
    <w:p w:rsidR="004E0146" w:rsidRDefault="004E0146" w14:paraId="38CED899" w14:textId="77777777" w:rsidP="004E0146" w:rsidRPr="004E0146">
      <w:pPr>
        <w:jc w:val="both"/>
        <w:tabs>
          <w:tab w:val="left" w:pos="1795"/>
          <w:tab w:val="left" w:pos="2880"/>
          <w:tab w:val="left" w:pos="3585"/>
          <w:tab w:val="left" w:pos="4320"/>
          <w:tab w:val="left" w:pos="5040"/>
          <w:tab w:val="left" w:pos="5760"/>
          <w:tab w:val="left" w:pos="6480"/>
          <w:tab w:val="left" w:pos="7200"/>
          <w:tab w:val="left" w:pos="7920"/>
          <w:tab w:val="left" w:pos="8640"/>
        </w:tabs>
        <w:rPr>
          <w:color w:val="000000"/>
          <w:rFonts w:ascii="Times New Roman" w:cs="Times New Roman" w:hAnsi="Times New Roman"/>
          <w:sz w:val="21"/>
          <w:szCs w:val="21"/>
        </w:rPr>
      </w:pPr>
      <w:bookmarkStart w:id="0" w:name="_Hlk113360547"/>
      <w:r w:rsidRPr="004E0146">
        <w:rPr>
          <w:color w:val="000000"/>
          <w:rFonts w:ascii="Times New Roman" w:cs="Times New Roman" w:hAnsi="Times New Roman"/>
          <w:sz w:val="21"/>
          <w:szCs w:val="21"/>
        </w:rPr>
        <w:t>Sabina Gold &amp; Silver Corp. is moving ahead with its Goose Mine, the first mine on its 100% owned the district scale, advanced, high grade Back River Gold District in Nunavut, Canada.</w:t>
      </w:r>
    </w:p>
    <w:p w:rsidR="004E0146" w:rsidRDefault="004E0146" w14:paraId="725839E0" w14:textId="77777777" w:rsidP="004E0146" w:rsidRPr="004E0146">
      <w:pPr>
        <w:jc w:val="both"/>
        <w:tabs>
          <w:tab w:val="left" w:pos="1795"/>
          <w:tab w:val="left" w:pos="2880"/>
          <w:tab w:val="left" w:pos="3585"/>
          <w:tab w:val="left" w:pos="4320"/>
          <w:tab w:val="left" w:pos="5040"/>
          <w:tab w:val="left" w:pos="5760"/>
          <w:tab w:val="left" w:pos="6480"/>
          <w:tab w:val="left" w:pos="7200"/>
          <w:tab w:val="left" w:pos="7920"/>
          <w:tab w:val="left" w:pos="8640"/>
        </w:tabs>
        <w:rPr>
          <w:color w:val="000000"/>
          <w:rFonts w:ascii="Times New Roman" w:cs="Times New Roman" w:hAnsi="Times New Roman"/>
          <w:sz w:val="21"/>
          <w:szCs w:val="21"/>
        </w:rPr>
      </w:pPr>
    </w:p>
    <w:p w:rsidR="004E0146" w:rsidRDefault="004E0146" w14:paraId="3DB12D7A" w14:textId="77777777" w:rsidP="004E0146" w:rsidRPr="004E0146">
      <w:pPr>
        <w:jc w:val="both"/>
        <w:tabs>
          <w:tab w:val="left" w:pos="1795"/>
          <w:tab w:val="left" w:pos="2880"/>
          <w:tab w:val="left" w:pos="3585"/>
          <w:tab w:val="left" w:pos="4320"/>
          <w:tab w:val="left" w:pos="5040"/>
          <w:tab w:val="left" w:pos="5760"/>
          <w:tab w:val="left" w:pos="6480"/>
          <w:tab w:val="left" w:pos="7200"/>
          <w:tab w:val="left" w:pos="7920"/>
          <w:tab w:val="left" w:pos="8640"/>
        </w:tabs>
        <w:rPr>
          <w:color w:val="000000"/>
          <w:rFonts w:ascii="Times New Roman" w:cs="Times New Roman" w:hAnsi="Times New Roman"/>
          <w:sz w:val="21"/>
          <w:szCs w:val="21"/>
        </w:rPr>
      </w:pPr>
      <w:r w:rsidRPr="004E0146">
        <w:rPr>
          <w:color w:val="000000"/>
          <w:rFonts w:ascii="Times New Roman" w:cs="Times New Roman" w:hAnsi="Times New Roman"/>
          <w:sz w:val="21"/>
          <w:szCs w:val="21"/>
        </w:rPr>
        <w:t xml:space="preserve">The Project has received its final major environmental authorizations, </w:t>
      </w:r>
      <w:proofErr w:type="gramStart"/>
      <w:r w:rsidRPr="004E0146">
        <w:rPr>
          <w:color w:val="000000"/>
          <w:rFonts w:ascii="Times New Roman" w:cs="Times New Roman" w:hAnsi="Times New Roman"/>
          <w:sz w:val="21"/>
          <w:szCs w:val="21"/>
        </w:rPr>
        <w:t>has</w:t>
      </w:r>
      <w:proofErr w:type="gramEnd"/>
      <w:r w:rsidRPr="004E0146">
        <w:rPr>
          <w:color w:val="000000"/>
          <w:rFonts w:ascii="Times New Roman" w:cs="Times New Roman" w:hAnsi="Times New Roman"/>
          <w:sz w:val="21"/>
          <w:szCs w:val="21"/>
        </w:rPr>
        <w:t xml:space="preserve"> social license and completed a US$600 million financing package in 2022.  With all pre-construction activities completed and all major items procured for construction, a formal construction decision was made to begin in early 2023. </w:t>
      </w:r>
    </w:p>
    <w:p w:rsidR="004E0146" w:rsidRDefault="004E0146" w14:paraId="512A78C3" w14:textId="77777777" w:rsidP="004E0146" w:rsidRPr="004E0146">
      <w:pPr>
        <w:widowControl w:val="0"/>
        <w:kinsoku w:val="0"/>
        <w:overflowPunct w:val="0"/>
        <w:autoSpaceDE w:val="0"/>
        <w:autoSpaceDN w:val="0"/>
        <w:adjustRightInd w:val="0"/>
        <w:jc w:val="both"/>
        <w:ind w:right="116"/>
        <w:rPr>
          <w:w w:val="105"/>
          <w:rFonts w:ascii="Times New Roman" w:cs="Times New Roman" w:hAnsi="Times New Roman"/>
          <w:sz w:val="21"/>
          <w:szCs w:val="21"/>
        </w:rPr>
      </w:pPr>
    </w:p>
    <w:p w:rsidR="004E0146" w:rsidRDefault="004E0146" w14:paraId="6DAA4967" w14:textId="5E9EE0E3" w:rsidP="004E0146" w:rsidRPr="004E0146">
      <w:pPr>
        <w:widowControl w:val="0"/>
        <w:kinsoku w:val="0"/>
        <w:overflowPunct w:val="0"/>
        <w:autoSpaceDE w:val="0"/>
        <w:autoSpaceDN w:val="0"/>
        <w:adjustRightInd w:val="0"/>
        <w:jc w:val="both"/>
        <w:ind w:right="116"/>
        <w:rPr>
          <w:w w:val="105"/>
          <w:rFonts w:ascii="Times New Roman" w:cs="Times New Roman" w:hAnsi="Times New Roman"/>
          <w:sz w:val="21"/>
          <w:szCs w:val="21"/>
        </w:rPr>
      </w:pPr>
      <w:r w:rsidRPr="004E0146">
        <w:rPr>
          <w:w w:val="105"/>
          <w:rFonts w:ascii="Times New Roman" w:cs="Times New Roman" w:hAnsi="Times New Roman"/>
          <w:sz w:val="21"/>
          <w:szCs w:val="21"/>
        </w:rPr>
        <w:t xml:space="preserve">The Company continues to advance development at its Goose </w:t>
      </w:r>
      <w:proofErr w:type="gramStart"/>
      <w:r w:rsidRPr="004E0146">
        <w:rPr>
          <w:w w:val="105"/>
          <w:rFonts w:ascii="Times New Roman" w:cs="Times New Roman" w:hAnsi="Times New Roman"/>
          <w:sz w:val="21"/>
          <w:szCs w:val="21"/>
        </w:rPr>
        <w:t>Mine</w:t>
      </w:r>
      <w:proofErr w:type="gramEnd"/>
      <w:r w:rsidRPr="004E0146">
        <w:rPr>
          <w:w w:val="105"/>
          <w:rFonts w:ascii="Times New Roman" w:cs="Times New Roman" w:hAnsi="Times New Roman"/>
          <w:sz w:val="21"/>
          <w:szCs w:val="21"/>
        </w:rPr>
        <w:t xml:space="preserve"> as well as continues exploration activities on the next area of focus on the belt: the George Property.</w:t>
      </w:r>
      <w:bookmarkEnd w:id="0"/>
    </w:p>
    <w:p w:rsidR="004E0146" w:rsidRDefault="004E0146" w14:paraId="07D8A9D4" w14:textId="1DF7DFF7" w:rsidRPr="004E0146">
      <w:pPr>
        <w:rPr>
          <w:bCs/>
          <w:b/>
          <w:rFonts w:ascii="Times New Roman" w:cs="Times New Roman" w:hAnsi="Times New Roman"/>
          <w:sz w:val="21"/>
          <w:szCs w:val="21"/>
        </w:rPr>
      </w:pPr>
    </w:p>
    <w:p w:rsidR="004E0146" w:rsidRDefault="004E0146" w14:paraId="4957D82D" w14:textId="296A70C6" w:rsidRPr="004E0146">
      <w:pPr>
        <w:rPr>
          <w:bCs/>
          <w:b/>
          <w:rFonts w:ascii="Times New Roman" w:cs="Times New Roman" w:hAnsi="Times New Roman"/>
          <w:sz w:val="21"/>
          <w:szCs w:val="21"/>
        </w:rPr>
      </w:pPr>
      <w:r w:rsidRPr="004E0146">
        <w:rPr>
          <w:bCs/>
          <w:b/>
          <w:rFonts w:ascii="Times New Roman" w:cs="Times New Roman" w:hAnsi="Times New Roman"/>
          <w:sz w:val="21"/>
          <w:szCs w:val="21"/>
        </w:rPr>
        <w:t>Investor Bullet Points:</w:t>
      </w:r>
    </w:p>
    <w:p w:rsidR="004E0146" w:rsidRDefault="004E0146" w14:paraId="7375249B" w14:textId="700A55DA" w:rsidRPr="004E0146">
      <w:pPr>
        <w:rPr>
          <w:bCs/>
          <w:b/>
          <w:rFonts w:ascii="Times New Roman" w:cs="Times New Roman" w:hAnsi="Times New Roman"/>
          <w:sz w:val="21"/>
          <w:szCs w:val="21"/>
        </w:rPr>
      </w:pPr>
    </w:p>
    <w:p w:rsidR="004E0146" w:rsidRDefault="004E0146" w14:paraId="6E18C7D3" w14:textId="77777777" w:rsidP="004E0146" w:rsidRPr="004E0146">
      <w:pPr>
        <w:textAlignment w:val="baseline"/>
        <w:pStyle w:val="NormalWeb"/>
        <w:numPr>
          <w:ilvl w:val="0"/>
          <w:numId w:val="1"/>
        </w:numPr>
        <w:spacing w:before="0" w:beforeAutospacing="0" w:after="200" w:afterAutospacing="0"/>
        <w:rPr>
          <w:color w:val="000000"/>
          <w:sz w:val="21"/>
          <w:szCs w:val="21"/>
        </w:rPr>
      </w:pPr>
      <w:r w:rsidRPr="004E0146">
        <w:rPr>
          <w:color w:val="000000"/>
          <w:sz w:val="21"/>
          <w:szCs w:val="21"/>
        </w:rPr>
        <w:t>Back River is a multi-generational Canadian mining district owned 100% by Sabina</w:t>
      </w:r>
    </w:p>
    <w:p w:rsidR="004E0146" w:rsidRDefault="004E0146" w14:paraId="47B6E5BC" w14:textId="77777777" w:rsidP="004E0146" w:rsidRPr="004E0146">
      <w:pPr>
        <w:textAlignment w:val="baseline"/>
        <w:pStyle w:val="NormalWeb"/>
        <w:numPr>
          <w:ilvl w:val="0"/>
          <w:numId w:val="1"/>
        </w:numPr>
        <w:spacing w:before="0" w:beforeAutospacing="0" w:after="200" w:afterAutospacing="0"/>
        <w:rPr>
          <w:color w:val="000000"/>
          <w:sz w:val="21"/>
          <w:szCs w:val="21"/>
        </w:rPr>
      </w:pPr>
      <w:r w:rsidRPr="004E0146">
        <w:rPr>
          <w:color w:val="000000"/>
          <w:sz w:val="21"/>
          <w:szCs w:val="21"/>
        </w:rPr>
        <w:t>Established large high-grade reserves and resources with all deposits open and 80km belt mostly unexplored</w:t>
      </w:r>
    </w:p>
    <w:p w:rsidR="004E0146" w:rsidRDefault="004E0146" w14:paraId="4E982F58" w14:textId="77777777" w:rsidP="004E0146" w:rsidRPr="004E0146">
      <w:pPr>
        <w:textAlignment w:val="baseline"/>
        <w:pStyle w:val="NormalWeb"/>
        <w:numPr>
          <w:ilvl w:val="0"/>
          <w:numId w:val="1"/>
        </w:numPr>
        <w:spacing w:before="0" w:beforeAutospacing="0" w:after="200" w:afterAutospacing="0"/>
        <w:rPr>
          <w:color w:val="000000"/>
          <w:sz w:val="21"/>
          <w:szCs w:val="21"/>
        </w:rPr>
      </w:pPr>
      <w:r w:rsidRPr="004E0146">
        <w:rPr>
          <w:color w:val="000000"/>
          <w:sz w:val="21"/>
          <w:szCs w:val="21"/>
        </w:rPr>
        <w:t>The first mine (Goose) is fully permitted with social license in hand &amp; de-risked with significant infrastructure in place, and logistics built and tested. Full construction to begin 2023</w:t>
      </w:r>
    </w:p>
    <w:p w:rsidR="004E0146" w:rsidRDefault="004E0146" w14:paraId="601E150F" w14:textId="364CE810" w:rsidP="004E0146" w:rsidRPr="004E0146">
      <w:pPr>
        <w:textAlignment w:val="baseline"/>
        <w:pStyle w:val="NormalWeb"/>
        <w:numPr>
          <w:ilvl w:val="0"/>
          <w:numId w:val="1"/>
        </w:numPr>
        <w:spacing w:before="240" w:beforeAutospacing="0" w:after="200" w:afterAutospacing="0"/>
        <w:rPr>
          <w:color w:val="000000"/>
          <w:sz w:val="21"/>
          <w:szCs w:val="21"/>
        </w:rPr>
      </w:pPr>
      <w:r w:rsidRPr="004E0146">
        <w:rPr>
          <w:color w:val="000000"/>
          <w:sz w:val="21"/>
          <w:szCs w:val="21"/>
        </w:rPr>
        <w:t>Full construction to begin in 2023 and set to produce ~250k oz Au over 15 years via open pit and underground</w:t>
      </w:r>
    </w:p>
    <w:p w:rsidR="004E0146" w:rsidRDefault="004E0146" w14:paraId="578C7CA9" w14:textId="68F858E5" w:rsidP="004E0146" w:rsidRPr="004E0146">
      <w:pPr>
        <w:rPr>
          <w:bCs/>
          <w:b/>
          <w:rFonts w:ascii="Times New Roman" w:cs="Times New Roman" w:hAnsi="Times New Roman"/>
          <w:sz w:val="21"/>
          <w:szCs w:val="21"/>
        </w:rPr>
      </w:pPr>
    </w:p>
    <w:p w:rsidR="004E0146" w:rsidRDefault="004E0146" w14:paraId="4F2CE0C8" w14:textId="77777777" w:rsidP="004E0146" w:rsidRPr="004E0146">
      <w:pPr>
        <w:pStyle w:val="SecuritiesCont1"/>
        <w:rPr>
          <w:lang w:val="en-CA"/>
          <w:b/>
          <w:rFonts w:ascii="Times New Roman" w:hAnsi="Times New Roman"/>
          <w:sz w:val="21"/>
          <w:szCs w:val="21"/>
        </w:rPr>
      </w:pPr>
      <w:r w:rsidRPr="004E0146">
        <w:rPr>
          <w:lang w:val="en-CA"/>
          <w:b/>
          <w:rFonts w:ascii="Times New Roman" w:hAnsi="Times New Roman"/>
          <w:sz w:val="21"/>
          <w:szCs w:val="21"/>
        </w:rPr>
        <w:t xml:space="preserve">D. Bruce McLeod, </w:t>
      </w:r>
      <w:r w:rsidRPr="004E0146">
        <w:rPr>
          <w:lang w:val="en-CA"/>
          <w:b/>
          <w:rFonts w:ascii="Times New Roman" w:hAnsi="Times New Roman"/>
          <w:sz w:val="21"/>
          <w:szCs w:val="21"/>
        </w:rPr>
        <w:t>Director, President &amp; CEO</w:t>
      </w:r>
    </w:p>
    <w:p w:rsidR="004E0146" w:rsidRDefault="004E0146" w14:paraId="42F1695D" w14:textId="2F3EAC84" w:rsidP="004E0146" w:rsidRPr="004E0146">
      <w:pPr>
        <w:pStyle w:val="SecuritiesCont1"/>
        <w:rPr>
          <w:lang w:val="en-CA"/>
          <w:rFonts w:ascii="Times New Roman" w:hAnsi="Times New Roman"/>
          <w:sz w:val="21"/>
          <w:szCs w:val="21"/>
        </w:rPr>
      </w:pPr>
      <w:r w:rsidRPr="004E0146">
        <w:rPr>
          <w:lang w:val="en-CA"/>
          <w:rFonts w:ascii="Times New Roman" w:hAnsi="Times New Roman"/>
          <w:sz w:val="21"/>
          <w:szCs w:val="21"/>
        </w:rPr>
        <w:t xml:space="preserve">Bruce McLeod is a Mining Engineer with over 35 years of experience in all areas of the mining industry. Most recently, he was the </w:t>
      </w:r>
      <w:bookmarkStart w:id="1" w:name="_9kR3WTr26657BaVrtykhs8YHusqReBr8QFIFjf3"/>
      <w:r w:rsidRPr="004E0146">
        <w:rPr>
          <w:lang w:val="en-CA"/>
          <w:rFonts w:ascii="Times New Roman" w:hAnsi="Times New Roman"/>
          <w:sz w:val="21"/>
          <w:szCs w:val="21"/>
        </w:rPr>
        <w:t>President &amp; Chief Executive Officer of Mercator Minerals Ltd. Prior</w:t>
      </w:r>
      <w:bookmarkEnd w:id="1"/>
      <w:r w:rsidRPr="004E0146">
        <w:rPr>
          <w:lang w:val="en-CA"/>
          <w:rFonts w:ascii="Times New Roman" w:hAnsi="Times New Roman"/>
          <w:sz w:val="21"/>
          <w:szCs w:val="21"/>
        </w:rPr>
        <w:t xml:space="preserve"> to that, he was the President, Chief Executive Officer and Director of Creston Moly Corp. as well as a founder of both Sherwood Copper Corp and Stornoway Diamond Corporation. He also served on the Board of Directors of Kaminak Gold Corporation (acquired by Goldcorp Inc.), </w:t>
      </w:r>
      <w:proofErr w:type="spellStart"/>
      <w:r w:rsidRPr="004E0146">
        <w:rPr>
          <w:lang w:val="en-CA"/>
          <w:rFonts w:ascii="Times New Roman" w:hAnsi="Times New Roman"/>
          <w:sz w:val="21"/>
          <w:szCs w:val="21"/>
        </w:rPr>
        <w:t>Palmerejo</w:t>
      </w:r>
      <w:proofErr w:type="spellEnd"/>
      <w:r w:rsidRPr="004E0146">
        <w:rPr>
          <w:lang w:val="en-CA"/>
          <w:rFonts w:ascii="Times New Roman" w:hAnsi="Times New Roman"/>
          <w:sz w:val="21"/>
          <w:szCs w:val="21"/>
        </w:rPr>
        <w:t xml:space="preserve"> Silver and Gold Corp (acquired by Coeur D’Alene Mines) and Ariane Gold (acquired by Cambior Inc.) and has been involved in numerous projects at various stages of development while with the </w:t>
      </w:r>
      <w:proofErr w:type="spellStart"/>
      <w:r w:rsidRPr="004E0146">
        <w:rPr>
          <w:lang w:val="en-CA"/>
          <w:rFonts w:ascii="Times New Roman" w:hAnsi="Times New Roman"/>
          <w:sz w:val="21"/>
          <w:szCs w:val="21"/>
        </w:rPr>
        <w:t>Northair</w:t>
      </w:r>
      <w:proofErr w:type="spellEnd"/>
      <w:r w:rsidRPr="004E0146">
        <w:rPr>
          <w:lang w:val="en-CA"/>
          <w:rFonts w:ascii="Times New Roman" w:hAnsi="Times New Roman"/>
          <w:sz w:val="21"/>
          <w:szCs w:val="21"/>
        </w:rPr>
        <w:t xml:space="preserve"> Group. Mr. McLeod was the co</w:t>
      </w:r>
      <w:r w:rsidRPr="004E0146">
        <w:rPr>
          <w:lang w:val="en-CA"/>
          <w:rFonts w:ascii="Times New Roman" w:hAnsi="Times New Roman"/>
          <w:sz w:val="21"/>
          <w:szCs w:val="21"/>
        </w:rPr>
        <w:t xml:space="preserve">recipient of </w:t>
        <w:noBreakHyphen/>
      </w:r>
      <w:bookmarkStart w:id="2" w:name="_9kR3WTr26647AJlqgfNWjyRn05HhZ626"/>
      <w:r w:rsidRPr="004E0146">
        <w:rPr>
          <w:lang w:val="en-CA"/>
          <w:rFonts w:ascii="Times New Roman" w:hAnsi="Times New Roman"/>
          <w:sz w:val="21"/>
          <w:szCs w:val="21"/>
        </w:rPr>
        <w:t>AMEBC’s EA Scholz Award</w:t>
      </w:r>
      <w:bookmarkEnd w:id="2"/>
      <w:r w:rsidRPr="004E0146">
        <w:rPr>
          <w:lang w:val="en-CA"/>
          <w:rFonts w:ascii="Times New Roman" w:hAnsi="Times New Roman"/>
          <w:sz w:val="21"/>
          <w:szCs w:val="21"/>
        </w:rPr>
        <w:t xml:space="preserve"> for excellence in mine development in 2009 and primarily focuses on project development, strategic planning, and financing activities.</w:t>
      </w:r>
    </w:p>
    <w:p w:rsidR="004E0146" w:rsidRDefault="004E0146" w14:paraId="13272CB6" w14:textId="77777777" w:rsidP="004E0146" w:rsidRPr="004E0146">
      <w:pPr>
        <w:jc w:val="both"/>
        <w:spacing w:after="220"/>
        <w:rPr>
          <w:b/>
          <w:rFonts w:ascii="Times New Roman" w:cs="Times New Roman" w:eastAsia="Times New Roman" w:hAnsi="Times New Roman"/>
          <w:sz w:val="21"/>
          <w:szCs w:val="21"/>
        </w:rPr>
      </w:pPr>
      <w:r w:rsidRPr="004E0146">
        <w:rPr>
          <w:b/>
          <w:rFonts w:ascii="Times New Roman" w:cs="Times New Roman" w:eastAsia="Times New Roman" w:hAnsi="Times New Roman"/>
          <w:sz w:val="21"/>
          <w:szCs w:val="21"/>
        </w:rPr>
        <w:t xml:space="preserve">Nicole </w:t>
      </w:r>
      <w:proofErr w:type="spellStart"/>
      <w:r w:rsidRPr="004E0146">
        <w:rPr>
          <w:b/>
          <w:rFonts w:ascii="Times New Roman" w:cs="Times New Roman" w:eastAsia="Times New Roman" w:hAnsi="Times New Roman"/>
          <w:sz w:val="21"/>
          <w:szCs w:val="21"/>
        </w:rPr>
        <w:t>Hoeller</w:t>
      </w:r>
      <w:proofErr w:type="spellEnd"/>
      <w:r w:rsidRPr="004E0146">
        <w:rPr>
          <w:b/>
          <w:rFonts w:ascii="Times New Roman" w:cs="Times New Roman" w:eastAsia="Times New Roman" w:hAnsi="Times New Roman"/>
          <w:sz w:val="21"/>
          <w:szCs w:val="21"/>
        </w:rPr>
        <w:t>, VP Communications</w:t>
      </w:r>
    </w:p>
    <w:p w:rsidR="004E0146" w:rsidRDefault="004E0146" w14:paraId="1A7728E1" w14:textId="60EAEACD" w:rsidP="004E0146" w:rsidRPr="004E0146">
      <w:pPr>
        <w:jc w:val="both"/>
        <w:spacing w:after="220"/>
        <w:rPr>
          <w:rFonts w:ascii="Times New Roman" w:cs="Times New Roman" w:eastAsia="Times New Roman" w:hAnsi="Times New Roman"/>
          <w:sz w:val="21"/>
          <w:szCs w:val="21"/>
        </w:rPr>
      </w:pPr>
      <w:r w:rsidRPr="004E0146">
        <w:rPr>
          <w:rFonts w:ascii="Times New Roman" w:cs="Times New Roman" w:eastAsia="Times New Roman" w:hAnsi="Times New Roman"/>
          <w:sz w:val="21"/>
          <w:szCs w:val="21"/>
        </w:rPr>
        <w:t>Prior to January 2008, Ms. </w:t>
      </w:r>
      <w:proofErr w:type="spellStart"/>
      <w:r w:rsidRPr="004E0146">
        <w:rPr>
          <w:rFonts w:ascii="Times New Roman" w:cs="Times New Roman" w:eastAsia="Times New Roman" w:hAnsi="Times New Roman"/>
          <w:sz w:val="21"/>
          <w:szCs w:val="21"/>
        </w:rPr>
        <w:t>Hoeller</w:t>
      </w:r>
      <w:proofErr w:type="spellEnd"/>
      <w:r w:rsidRPr="004E0146">
        <w:rPr>
          <w:rFonts w:ascii="Times New Roman" w:cs="Times New Roman" w:eastAsia="Times New Roman" w:hAnsi="Times New Roman"/>
          <w:sz w:val="21"/>
          <w:szCs w:val="21"/>
        </w:rPr>
        <w:t xml:space="preserve"> was Director, IR for Miramar. Along with her over 26 years of experience in investor relations and communications in the industry, Ms. </w:t>
      </w:r>
      <w:proofErr w:type="spellStart"/>
      <w:r w:rsidRPr="004E0146">
        <w:rPr>
          <w:rFonts w:ascii="Times New Roman" w:cs="Times New Roman" w:eastAsia="Times New Roman" w:hAnsi="Times New Roman"/>
          <w:sz w:val="21"/>
          <w:szCs w:val="21"/>
        </w:rPr>
        <w:t>Hoeller</w:t>
      </w:r>
      <w:proofErr w:type="spellEnd"/>
      <w:r w:rsidRPr="004E0146">
        <w:rPr>
          <w:rFonts w:ascii="Times New Roman" w:cs="Times New Roman" w:eastAsia="Times New Roman" w:hAnsi="Times New Roman"/>
          <w:sz w:val="21"/>
          <w:szCs w:val="21"/>
        </w:rPr>
        <w:t xml:space="preserve"> has also spent extensive time traveling in the </w:t>
      </w:r>
      <w:bookmarkStart w:id="3" w:name="_9kMIH5YVt48869FOIru1l"/>
      <w:r w:rsidRPr="004E0146">
        <w:rPr>
          <w:rFonts w:ascii="Times New Roman" w:cs="Times New Roman" w:eastAsia="Times New Roman" w:hAnsi="Times New Roman"/>
          <w:sz w:val="21"/>
          <w:szCs w:val="21"/>
        </w:rPr>
        <w:t>Arctic</w:t>
      </w:r>
      <w:bookmarkEnd w:id="3"/>
      <w:r w:rsidRPr="004E0146">
        <w:rPr>
          <w:rFonts w:ascii="Times New Roman" w:cs="Times New Roman" w:eastAsia="Times New Roman" w:hAnsi="Times New Roman"/>
          <w:sz w:val="21"/>
          <w:szCs w:val="21"/>
        </w:rPr>
        <w:t xml:space="preserve">, </w:t>
      </w:r>
      <w:proofErr w:type="gramStart"/>
      <w:r w:rsidRPr="004E0146">
        <w:rPr>
          <w:rFonts w:ascii="Times New Roman" w:cs="Times New Roman" w:eastAsia="Times New Roman" w:hAnsi="Times New Roman"/>
          <w:sz w:val="21"/>
          <w:szCs w:val="21"/>
        </w:rPr>
        <w:t>liaising</w:t>
      </w:r>
      <w:proofErr w:type="gramEnd"/>
      <w:r w:rsidRPr="004E0146">
        <w:rPr>
          <w:rFonts w:ascii="Times New Roman" w:cs="Times New Roman" w:eastAsia="Times New Roman" w:hAnsi="Times New Roman"/>
          <w:sz w:val="21"/>
          <w:szCs w:val="21"/>
        </w:rPr>
        <w:t xml:space="preserve"> and consulting with communities, Inuit organizations and all levels of government about the benefits and impacts of mining in Canada’s North.  Ms. </w:t>
      </w:r>
      <w:proofErr w:type="spellStart"/>
      <w:r w:rsidRPr="004E0146">
        <w:rPr>
          <w:rFonts w:ascii="Times New Roman" w:cs="Times New Roman" w:eastAsia="Times New Roman" w:hAnsi="Times New Roman"/>
          <w:sz w:val="21"/>
          <w:szCs w:val="21"/>
        </w:rPr>
        <w:t>Hoeller</w:t>
      </w:r>
      <w:proofErr w:type="spellEnd"/>
      <w:r w:rsidRPr="004E0146">
        <w:rPr>
          <w:rFonts w:ascii="Times New Roman" w:cs="Times New Roman" w:eastAsia="Times New Roman" w:hAnsi="Times New Roman"/>
          <w:sz w:val="21"/>
          <w:szCs w:val="21"/>
        </w:rPr>
        <w:t xml:space="preserve"> also has significant experience in capital markets, corporate </w:t>
      </w:r>
      <w:proofErr w:type="gramStart"/>
      <w:r w:rsidRPr="004E0146">
        <w:rPr>
          <w:rFonts w:ascii="Times New Roman" w:cs="Times New Roman" w:eastAsia="Times New Roman" w:hAnsi="Times New Roman"/>
          <w:sz w:val="21"/>
          <w:szCs w:val="21"/>
        </w:rPr>
        <w:t>financing</w:t>
      </w:r>
      <w:proofErr w:type="gramEnd"/>
      <w:r w:rsidRPr="004E0146">
        <w:rPr>
          <w:rFonts w:ascii="Times New Roman" w:cs="Times New Roman" w:eastAsia="Times New Roman" w:hAnsi="Times New Roman"/>
          <w:sz w:val="21"/>
          <w:szCs w:val="21"/>
        </w:rPr>
        <w:t xml:space="preserve"> and M&amp;A.</w:t>
      </w:r>
    </w:p>
    <w:sectPr w:rsidR="004E0146" w:rsidRPr="004E0146">
      <w:docGrid w:linePitch="360"/>
      <w:pgSz w:w="12240" w:h="15840"/>
      <w:pgMar w:left="1440" w:right="144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35A09AB"/>
    <w:tmpl w:val="A80C5F06"/>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5AA8"/>
  <w15:chartTrackingRefBased/>
  <w15:docId w15:val="{2CB7DB1A-8603-3742-B556-70E76F610E92}"/>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CA"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NormalWeb">
    <w:name w:val="Normal (Web)"/>
    <w:basedOn w:val="Normal"/>
    <w:uiPriority w:val="99"/>
    <w:semiHidden/>
    <w:unhideWhenUsed/>
    <w:rsid w:val="004E0146"/>
    <w:pPr>
      <w:spacing w:before="100" w:beforeAutospacing="1" w:after="100" w:afterAutospacing="1"/>
    </w:pPr>
    <w:rPr>
      <w:rFonts w:ascii="Times New Roman" w:cs="Times New Roman" w:eastAsia="Times New Roman" w:hAnsi="Times New Roman"/>
    </w:rPr>
  </w:style>
  <w:style w:type="paragraph" w:styleId="SecuritiesCont1">
    <w:name w:val="Securities Cont 1"/>
    <w:basedOn w:val="Normal"/>
    <w:link w:val="SecuritiesCont1Char"/>
    <w:rsid w:val="004E0146"/>
    <w:pPr>
      <w:jc w:val="both"/>
      <w:spacing w:after="220"/>
    </w:pPr>
    <w:rPr>
      <w:lang w:val="x-none"/>
      <w:rFonts w:ascii="Arial" w:cs="Times New Roman" w:eastAsia="Times New Roman" w:hAnsi="Arial"/>
      <w:sz w:val="22"/>
    </w:rPr>
  </w:style>
  <w:style w:type="character" w:styleId="SecuritiesCont1Char">
    <w:name w:val="Securities Cont 1 Char"/>
    <w:link w:val="SecuritiesCont1"/>
    <w:rsid w:val="004E0146"/>
    <w:rPr>
      <w:lang w:val="x-none"/>
      <w:rFonts w:ascii="Arial" w:cs="Times New Roman" w:eastAsia="Times New Roman" w:hAnsi="Arial"/>
      <w:sz w:val="22"/>
    </w:rPr>
  </w:style>
  <w:style w:type="paragraph" w:styleId="ListParagraph">
    <w:name w:val="List Paragraph"/>
    <w:qFormat/>
    <w:basedOn w:val="Normal"/>
    <w:uiPriority w:val="34"/>
    <w:rsid w:val="004E0146"/>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2</cp:revision>
  <dcterms:created xsi:type="dcterms:W3CDTF">2022-10-27T16:39:00Z</dcterms:created>
  <dcterms:modified xsi:type="dcterms:W3CDTF">2022-10-27T17:39:00Z</dcterms:modified>
</cp:coreProperties>
</file>